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26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fldChar w:fldCharType="begin"/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instrText xml:space="preserve"> HYPERLINK "https://appsta.hbhsrb.com/files/app/hsrbapp/html/News/202504/11/9996690.html?v=1773046557" </w:instrTex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fldChar w:fldCharType="separate"/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聚焦干部素质提升年｜【干部换位跑 服务在一线①】黄石“95后”干部送外卖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fldChar w:fldCharType="end"/>
      </w:r>
    </w:p>
    <w:p w14:paraId="4086A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011BD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"https://appsta.hbhsrb.com/files/app/hsrbapp/html/News/202504/11/99100472.html?v=1773196076" </w:instrTex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https://appsta.hbhsrb.com/files/app/hsrbapp/html/News/202504/11/99100472.html?v=1773196076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559CA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421F8"/>
    <w:rsid w:val="37D51324"/>
    <w:rsid w:val="7FFF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124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2026-03-09T08:21:00Z</dcterms:created>
  <dc:creator>dwt</dc:creator>
  <cp:lastModifiedBy>婷</cp:lastModifiedBy>
  <dcterms:modified xsi:type="dcterms:W3CDTF">2026-03-11T08:01:50Z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BB69816A3C0A47F380F266D61B560B94_12</vt:lpwstr>
  </property>
</Properties>
</file>