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8BE9C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华文中宋" w:hAnsi="华文中宋" w:eastAsia="华文中宋" w:cs="华文中宋"/>
          <w:b/>
          <w:bCs/>
          <w:color w:val="000000" w:themeColor="text1"/>
          <w:sz w:val="36"/>
          <w:szCs w:val="36"/>
          <w14:textFill>
            <w14:solidFill>
              <w14:schemeClr w14:val="tx1"/>
            </w14:solidFill>
          </w14:textFill>
        </w:rPr>
      </w:pPr>
      <w:r>
        <w:rPr>
          <w:rFonts w:hint="default" w:ascii="华文中宋" w:hAnsi="华文中宋" w:eastAsia="华文中宋" w:cs="华文中宋"/>
          <w:b/>
          <w:bCs/>
          <w:color w:val="000000" w:themeColor="text1"/>
          <w:sz w:val="36"/>
          <w:szCs w:val="36"/>
          <w14:textFill>
            <w14:solidFill>
              <w14:schemeClr w14:val="tx1"/>
            </w14:solidFill>
          </w14:textFill>
        </w:rPr>
        <w:t>全域一体化　建设大黄石</w:t>
      </w:r>
    </w:p>
    <w:p w14:paraId="6567AC15">
      <w:pPr>
        <w:pStyle w:val="3"/>
        <w:keepNext w:val="0"/>
        <w:keepLines w:val="0"/>
        <w:widowControl/>
        <w:suppressLineNumbers w:val="0"/>
        <w:pBdr>
          <w:bottom w:val="none" w:color="auto" w:sz="0" w:space="0"/>
        </w:pBdr>
        <w:shd w:val="clear" w:fill="FFFFFF"/>
        <w:spacing w:before="0" w:beforeAutospacing="0" w:after="0" w:afterAutospacing="0" w:line="26" w:lineRule="atLeast"/>
        <w:ind w:left="0" w:right="0" w:firstLine="0"/>
        <w:jc w:val="center"/>
        <w:rPr>
          <w:rFonts w:hint="default" w:ascii="华文中宋" w:hAnsi="华文中宋" w:eastAsia="华文中宋" w:cs="华文中宋"/>
          <w:b/>
          <w:bCs/>
          <w:kern w:val="2"/>
          <w:sz w:val="32"/>
          <w:szCs w:val="32"/>
          <w:lang w:val="en-US" w:eastAsia="zh-CN" w:bidi="ar-SA"/>
        </w:rPr>
      </w:pPr>
      <w:r>
        <w:rPr>
          <w:rFonts w:hint="default" w:ascii="华文中宋" w:hAnsi="华文中宋" w:eastAsia="华文中宋" w:cs="华文中宋"/>
          <w:b/>
          <w:bCs/>
          <w:kern w:val="2"/>
          <w:sz w:val="32"/>
          <w:szCs w:val="32"/>
          <w:lang w:val="en-US" w:eastAsia="zh-CN" w:bidi="ar-SA"/>
        </w:rPr>
        <w:t>——黄石市全域一体化发展的进阶之路</w:t>
      </w:r>
    </w:p>
    <w:p w14:paraId="6E21D474">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服务推动支点建设气象万千，奋进武汉都市圈重要增长极的黄石故事持续更新——历经13年接续长跑般的不懈积累、4年攻坚拔寨式的集中发力，5月23日，黄石捧回“全国文明城市”金字招牌。奖牌背后，是黄石人“全域联动、全民共建”的生动实践，是全域一体化发展驱动下的城市能级与民生温度双重跃升。</w:t>
      </w:r>
    </w:p>
    <w:p w14:paraId="1A5F37A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全国文明城，点石成金地。在奋进武汉都市圈重要增长极的坐标系中，黄石以“深情相拥”的姿态，拥抱交通互联、拥抱产业协同、拥抱城乡融合。</w:t>
      </w:r>
    </w:p>
    <w:p w14:paraId="64B7B41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400" w:lineRule="exact"/>
        <w:ind w:left="0" w:right="0" w:firstLine="0"/>
        <w:jc w:val="both"/>
        <w:textAlignment w:val="auto"/>
        <w:rPr>
          <w:rFonts w:hint="default" w:ascii="华文中宋" w:hAnsi="华文中宋" w:eastAsia="华文中宋" w:cs="华文中宋"/>
          <w:b/>
          <w:bCs/>
          <w:kern w:val="2"/>
          <w:sz w:val="30"/>
          <w:szCs w:val="30"/>
          <w:lang w:val="en-US" w:eastAsia="zh-CN" w:bidi="ar-SA"/>
        </w:rPr>
      </w:pPr>
      <w:r>
        <w:rPr>
          <w:rFonts w:hint="default" w:ascii="Helvetica" w:hAnsi="Helvetica" w:eastAsia="Helvetica" w:cs="Helvetica"/>
          <w:i w:val="0"/>
          <w:iCs w:val="0"/>
          <w:caps w:val="0"/>
          <w:color w:val="333333"/>
          <w:spacing w:val="0"/>
          <w:sz w:val="21"/>
          <w:szCs w:val="21"/>
          <w:shd w:val="clear" w:fill="FFFFFF"/>
        </w:rPr>
        <w:t>　　</w:t>
      </w:r>
      <w:r>
        <w:rPr>
          <w:rFonts w:hint="eastAsia" w:ascii="Helvetica" w:hAnsi="Helvetica" w:eastAsia="宋体" w:cs="Helvetica"/>
          <w:i w:val="0"/>
          <w:iCs w:val="0"/>
          <w:caps w:val="0"/>
          <w:color w:val="333333"/>
          <w:spacing w:val="0"/>
          <w:sz w:val="21"/>
          <w:szCs w:val="21"/>
          <w:shd w:val="clear" w:fill="FFFFFF"/>
          <w:lang w:val="en-US" w:eastAsia="zh-CN"/>
        </w:rPr>
        <w:t xml:space="preserve">  </w:t>
      </w:r>
      <w:bookmarkStart w:id="0" w:name="_GoBack"/>
      <w:bookmarkEnd w:id="0"/>
      <w:r>
        <w:rPr>
          <w:rFonts w:hint="default" w:ascii="华文中宋" w:hAnsi="华文中宋" w:eastAsia="华文中宋" w:cs="华文中宋"/>
          <w:b/>
          <w:bCs/>
          <w:kern w:val="2"/>
          <w:sz w:val="30"/>
          <w:szCs w:val="30"/>
          <w:lang w:val="en-US" w:eastAsia="zh-CN" w:bidi="ar-SA"/>
        </w:rPr>
        <w:t>格局重构：</w:t>
      </w:r>
    </w:p>
    <w:p w14:paraId="138C766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400" w:lineRule="exact"/>
        <w:ind w:left="0" w:right="0" w:firstLine="0"/>
        <w:jc w:val="both"/>
        <w:textAlignment w:val="auto"/>
        <w:rPr>
          <w:rFonts w:hint="default" w:ascii="华文中宋" w:hAnsi="华文中宋" w:eastAsia="华文中宋" w:cs="华文中宋"/>
          <w:b/>
          <w:bCs/>
          <w:kern w:val="2"/>
          <w:sz w:val="30"/>
          <w:szCs w:val="30"/>
          <w:lang w:val="en-US" w:eastAsia="zh-CN" w:bidi="ar-SA"/>
        </w:rPr>
      </w:pPr>
      <w:r>
        <w:rPr>
          <w:rFonts w:hint="default" w:ascii="华文中宋" w:hAnsi="华文中宋" w:eastAsia="华文中宋" w:cs="华文中宋"/>
          <w:b/>
          <w:bCs/>
          <w:kern w:val="2"/>
          <w:sz w:val="30"/>
          <w:szCs w:val="30"/>
          <w:lang w:val="en-US" w:eastAsia="zh-CN" w:bidi="ar-SA"/>
        </w:rPr>
        <w:t>　</w:t>
      </w:r>
      <w:r>
        <w:rPr>
          <w:rFonts w:hint="eastAsia" w:ascii="华文中宋" w:hAnsi="华文中宋" w:eastAsia="华文中宋" w:cs="华文中宋"/>
          <w:b/>
          <w:bCs/>
          <w:kern w:val="2"/>
          <w:sz w:val="30"/>
          <w:szCs w:val="30"/>
          <w:lang w:val="en-US" w:eastAsia="zh-CN" w:bidi="ar-SA"/>
        </w:rPr>
        <w:t xml:space="preserve">  </w:t>
      </w:r>
      <w:r>
        <w:rPr>
          <w:rFonts w:hint="default" w:ascii="华文中宋" w:hAnsi="华文中宋" w:eastAsia="华文中宋" w:cs="华文中宋"/>
          <w:b/>
          <w:bCs/>
          <w:kern w:val="2"/>
          <w:sz w:val="30"/>
          <w:szCs w:val="30"/>
          <w:lang w:val="en-US" w:eastAsia="zh-CN" w:bidi="ar-SA"/>
        </w:rPr>
        <w:t>从“散落节点”到“全域一张网”</w:t>
      </w:r>
    </w:p>
    <w:p w14:paraId="0466744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420" w:firstLineChars="200"/>
        <w:jc w:val="both"/>
        <w:textAlignment w:val="auto"/>
        <w:rPr>
          <w:rFonts w:hint="default" w:ascii="宋体" w:hAnsi="宋体" w:eastAsia="宋体" w:cs="宋体"/>
          <w:b/>
          <w:bCs/>
          <w:kern w:val="2"/>
          <w:sz w:val="30"/>
          <w:szCs w:val="30"/>
          <w:lang w:val="en-US" w:eastAsia="zh-CN" w:bidi="ar-SA"/>
        </w:rPr>
      </w:pPr>
      <w:r>
        <w:rPr>
          <w:rFonts w:hint="default" w:ascii="Helvetica" w:hAnsi="Helvetica" w:eastAsia="Helvetica" w:cs="Helvetica"/>
          <w:i w:val="0"/>
          <w:iCs w:val="0"/>
          <w:caps w:val="0"/>
          <w:color w:val="333333"/>
          <w:spacing w:val="0"/>
          <w:sz w:val="21"/>
          <w:szCs w:val="21"/>
          <w:shd w:val="clear" w:fill="FFFFFF"/>
        </w:rPr>
        <w:t>　</w:t>
      </w:r>
      <w:r>
        <w:rPr>
          <w:rFonts w:hint="default" w:ascii="宋体" w:hAnsi="宋体" w:eastAsia="宋体" w:cs="宋体"/>
          <w:b/>
          <w:bCs/>
          <w:kern w:val="2"/>
          <w:sz w:val="30"/>
          <w:szCs w:val="30"/>
          <w:lang w:val="en-US" w:eastAsia="zh-CN" w:bidi="ar-SA"/>
        </w:rPr>
        <w:t>中国式现代化，城乡融合是必然要求；全域一体化，则是实现这一要求的关键路径。</w:t>
      </w:r>
    </w:p>
    <w:p w14:paraId="610490A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打开黄石地图，6个县（市、区）、47个乡镇（街道、场）、1023个行政村（社区）散落成点，交织成网。加快建成武汉都市圈重要增长极，服务推动全省支点建设，黄石地图上的每一个点都可能成为潜在的增长点。</w:t>
      </w:r>
    </w:p>
    <w:p w14:paraId="49DD9A6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全域一体化，交通要先行。大广高速东方山互通通车，武汉新城至黄石新港快速通道（海州大道至百花路段）贯通，鄂州花湖机场高速二期项目建设也按下加速键。</w:t>
      </w:r>
    </w:p>
    <w:p w14:paraId="111A1FC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　　铁路、高速公路、快速路畅通衔接的现代化路网体系初步形成，黄石实现了“驾车20分钟到花湖机场、城铁30分钟抵武汉”。</w:t>
      </w:r>
    </w:p>
    <w:p w14:paraId="504D065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融入都市圈，畅通域内外。城市公交开进了新港园区，现代有轨电车开进了大冶湖新区。黄石长江公路大桥改扩建工程前期工作加快推进，“横一”S203西塞街办至新港园区段、“纵二”G106铁山至大冶段（替代线）等武鄂黄黄快速通道提升项目路基工程全线贯通，黄石全域“半小时交通圈”不仅缩短了时空距离，更打通了要素流动的“任督二脉”。</w:t>
      </w:r>
    </w:p>
    <w:p w14:paraId="15A5624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格局一变天地宽。大冶市发改局副局长李精明讲了一个从“传统好邻居”升级为“优质合伙人”的故事：</w:t>
      </w:r>
    </w:p>
    <w:p w14:paraId="6B290F2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今年2月，总投资120亿元的大冶华鑫精品板材技改项目入选2025年省级重点项目清单。2023年初，该项目因合规园区问题一度停滞。今年初，大冶市联动西塞山区，推动项目所辖金湖区块纳入西塞山工业园扩调区范围。</w:t>
      </w:r>
    </w:p>
    <w:p w14:paraId="66C29CE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“你中有我、我中有你”。如今，华鑫精品板材技改项目纳入西塞山工业园扩调区工作的前期申请报告已通过省相关部门审核。目前，该项目已完成产能置换、备案等前期手续。</w:t>
      </w:r>
    </w:p>
    <w:p w14:paraId="7F6D827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全域一体化发展，畅通要素循环、加快产业一体化是关键。为避免产品同质化、行业布局重叠和不当竞争，黄石根据各区域的资源与优势，积极引导调整产业结构，集中力量培育优势产品，实行差异竞争、错位发展，构建起循环发展的产业格局。</w:t>
      </w:r>
    </w:p>
    <w:p w14:paraId="40A0D96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420" w:firstLineChars="200"/>
        <w:jc w:val="both"/>
        <w:textAlignment w:val="auto"/>
        <w:rPr>
          <w:rFonts w:hint="default" w:ascii="宋体" w:hAnsi="宋体" w:eastAsia="宋体" w:cs="宋体"/>
          <w:b/>
          <w:bCs/>
          <w:kern w:val="2"/>
          <w:sz w:val="30"/>
          <w:szCs w:val="30"/>
          <w:lang w:val="en-US" w:eastAsia="zh-CN" w:bidi="ar-SA"/>
        </w:rPr>
      </w:pPr>
      <w:r>
        <w:rPr>
          <w:rFonts w:hint="default" w:ascii="Helvetica" w:hAnsi="Helvetica" w:eastAsia="Helvetica" w:cs="Helvetica"/>
          <w:i w:val="0"/>
          <w:iCs w:val="0"/>
          <w:caps w:val="0"/>
          <w:color w:val="333333"/>
          <w:spacing w:val="0"/>
          <w:sz w:val="21"/>
          <w:szCs w:val="21"/>
          <w:shd w:val="clear" w:fill="FFFFFF"/>
        </w:rPr>
        <w:t>　</w:t>
      </w:r>
      <w:r>
        <w:rPr>
          <w:rFonts w:hint="default" w:ascii="宋体" w:hAnsi="宋体" w:eastAsia="宋体" w:cs="宋体"/>
          <w:b/>
          <w:bCs/>
          <w:kern w:val="2"/>
          <w:sz w:val="30"/>
          <w:szCs w:val="30"/>
          <w:lang w:val="en-US" w:eastAsia="zh-CN" w:bidi="ar-SA"/>
        </w:rPr>
        <w:t>以黄石光电子信息产业为例：黄石全域联动，深度融入武汉“光芯屏端网”万亿产业集群，奋进千亿级光电子信息产业集群，先后建成省级新型工业化电子信息产业示范基地、华中最大光纤激光器生产基地和中部最大高端铜箔生产基地。</w:t>
      </w:r>
    </w:p>
    <w:p w14:paraId="4421911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在开发区·铁山区，以PCB、新型显示、智能终端、智慧激光为主导，聚集了沪士电子、联新电子、闻泰科技、锐科激光等一批链主企业。</w:t>
      </w:r>
    </w:p>
    <w:p w14:paraId="01D0BC50">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阳新县侧重发展光电子信息基础材料及危废处理配套；下陆区加快发展铜加工及循环经济产业；西塞山区则发展电子信息配套加工企业。</w:t>
      </w:r>
    </w:p>
    <w:p w14:paraId="1A1FA01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大冶市建成50万平方米光电子信息产业园，大美科技、奕元达、泓图光电、惠盈显示等企业落户，初步形成“上游材料——中游模组——下游应用”全链条。大冶市经信局副局长朱容准介绍，2024年大冶光电子信息产业产值18.4亿元，同比增长23.2%。</w:t>
      </w:r>
    </w:p>
    <w:p w14:paraId="3A256FC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如今，黄石235家光电子信息企业聚链成势，其中117家规上企业与26家头部企业协同发力，30家省级以上专精特新“小巨人”企业，凭借持续的技术创新与产品迭代，为产业升级注入强劲动能。</w:t>
      </w:r>
    </w:p>
    <w:p w14:paraId="28733014">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400" w:lineRule="exact"/>
        <w:ind w:left="0" w:right="0" w:firstLine="0"/>
        <w:jc w:val="both"/>
        <w:textAlignment w:val="auto"/>
        <w:rPr>
          <w:rFonts w:hint="default" w:ascii="华文中宋" w:hAnsi="华文中宋" w:eastAsia="华文中宋" w:cs="华文中宋"/>
          <w:b/>
          <w:bCs/>
          <w:kern w:val="2"/>
          <w:sz w:val="30"/>
          <w:szCs w:val="30"/>
          <w:lang w:val="en-US" w:eastAsia="zh-CN" w:bidi="ar-SA"/>
        </w:rPr>
      </w:pPr>
      <w:r>
        <w:rPr>
          <w:rFonts w:hint="default" w:ascii="Helvetica" w:hAnsi="Helvetica" w:eastAsia="Helvetica" w:cs="Helvetica"/>
          <w:i w:val="0"/>
          <w:iCs w:val="0"/>
          <w:caps w:val="0"/>
          <w:color w:val="333333"/>
          <w:spacing w:val="0"/>
          <w:sz w:val="21"/>
          <w:szCs w:val="21"/>
          <w:shd w:val="clear" w:fill="FFFFFF"/>
        </w:rPr>
        <w:t>　　</w:t>
      </w:r>
      <w:r>
        <w:rPr>
          <w:rFonts w:hint="eastAsia" w:ascii="Helvetica" w:hAnsi="Helvetica" w:eastAsia="宋体" w:cs="Helvetica"/>
          <w:i w:val="0"/>
          <w:iCs w:val="0"/>
          <w:caps w:val="0"/>
          <w:color w:val="333333"/>
          <w:spacing w:val="0"/>
          <w:sz w:val="21"/>
          <w:szCs w:val="21"/>
          <w:shd w:val="clear" w:fill="FFFFFF"/>
          <w:lang w:val="en-US" w:eastAsia="zh-CN"/>
        </w:rPr>
        <w:t xml:space="preserve">  </w:t>
      </w:r>
      <w:r>
        <w:rPr>
          <w:rFonts w:hint="default" w:ascii="华文中宋" w:hAnsi="华文中宋" w:eastAsia="华文中宋" w:cs="华文中宋"/>
          <w:b/>
          <w:bCs/>
          <w:kern w:val="2"/>
          <w:sz w:val="30"/>
          <w:szCs w:val="30"/>
          <w:lang w:val="en-US" w:eastAsia="zh-CN" w:bidi="ar-SA"/>
        </w:rPr>
        <w:t>协同共进：</w:t>
      </w:r>
    </w:p>
    <w:p w14:paraId="581FC490">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400" w:lineRule="exact"/>
        <w:ind w:left="0" w:right="0" w:firstLine="0"/>
        <w:jc w:val="both"/>
        <w:textAlignment w:val="auto"/>
        <w:rPr>
          <w:rFonts w:hint="default" w:ascii="华文中宋" w:hAnsi="华文中宋" w:eastAsia="华文中宋" w:cs="华文中宋"/>
          <w:b/>
          <w:bCs/>
          <w:kern w:val="2"/>
          <w:sz w:val="30"/>
          <w:szCs w:val="30"/>
          <w:lang w:val="en-US" w:eastAsia="zh-CN" w:bidi="ar-SA"/>
        </w:rPr>
      </w:pPr>
      <w:r>
        <w:rPr>
          <w:rFonts w:hint="default" w:ascii="华文中宋" w:hAnsi="华文中宋" w:eastAsia="华文中宋" w:cs="华文中宋"/>
          <w:b/>
          <w:bCs/>
          <w:kern w:val="2"/>
          <w:sz w:val="30"/>
          <w:szCs w:val="30"/>
          <w:lang w:val="en-US" w:eastAsia="zh-CN" w:bidi="ar-SA"/>
        </w:rPr>
        <w:t>　</w:t>
      </w:r>
      <w:r>
        <w:rPr>
          <w:rFonts w:hint="eastAsia" w:ascii="华文中宋" w:hAnsi="华文中宋" w:eastAsia="华文中宋" w:cs="华文中宋"/>
          <w:b/>
          <w:bCs/>
          <w:kern w:val="2"/>
          <w:sz w:val="30"/>
          <w:szCs w:val="30"/>
          <w:lang w:val="en-US" w:eastAsia="zh-CN" w:bidi="ar-SA"/>
        </w:rPr>
        <w:t xml:space="preserve">  </w:t>
      </w:r>
      <w:r>
        <w:rPr>
          <w:rFonts w:hint="default" w:ascii="华文中宋" w:hAnsi="华文中宋" w:eastAsia="华文中宋" w:cs="华文中宋"/>
          <w:b/>
          <w:bCs/>
          <w:kern w:val="2"/>
          <w:sz w:val="30"/>
          <w:szCs w:val="30"/>
          <w:lang w:val="en-US" w:eastAsia="zh-CN" w:bidi="ar-SA"/>
        </w:rPr>
        <w:t>从“镇域突围”到“集镇崛起”</w:t>
      </w:r>
    </w:p>
    <w:p w14:paraId="187D6A3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创新活力奔涌，镇域发展日新月异。今天的黄石，每一寸土地，都吐纳着昂扬向上的崭新气象。</w:t>
      </w:r>
    </w:p>
    <w:p w14:paraId="6545E61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镇域是“上连城市、下接农村”的桥梁和纽带，是推进项目建设、扩大招商引资和城乡融合发展的重要载体，是市域经济发展的基础单元和有力支撑。</w:t>
      </w:r>
    </w:p>
    <w:p w14:paraId="10EC035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“荆楚矿业第一镇”陈贵镇推进产业向纵深领域延伸拓展，形成牛仔纺织服装、矿产品绿色循环加工、农旅文化三大百亿产业集群，以及食品加工、矿业、化工、建材、旅游业多点支撑的产业格局。</w:t>
      </w:r>
    </w:p>
    <w:p w14:paraId="269046B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凭借纵横交错的交通枢纽，陈贵纺织服装新区以湖北陈贵顺富纺织为龙头，形成“织布——制衣——洗水——销售”全链条，产品远销60多个国家和地区，年外贸出口额超1000万美元。</w:t>
      </w:r>
    </w:p>
    <w:p w14:paraId="4A3F84D4">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陈贵镇党委副书记、副镇长饶承东介绍，2024年陈贵纺织服装产业产值达4.47亿元，链上集聚企业9家，其中规上企业5家。全镇财政总收入达6.35亿元，集聚规模以上工业企业40家。</w:t>
      </w:r>
    </w:p>
    <w:p w14:paraId="66D1A6E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产业兴，百业兴。产业兴旺挺起镇域发展“主脊梁”。</w:t>
      </w:r>
    </w:p>
    <w:p w14:paraId="4290A49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从“单点突破”到“多极支撑”，黄石镇域发展正经历深刻变革。</w:t>
      </w:r>
    </w:p>
    <w:p w14:paraId="14441C6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5月20日，站在黄石临空经济区·还地桥镇科创中心门口向上看，科创中心犹如一架展翅翱翔的飞机，两翼拖曳着产业升级的绚丽轨迹。这个集政务服务、科创孵化、总部经济于一体的综合性平台服务中心，总投入3.9亿元，预计今年7月投入使用。</w:t>
      </w:r>
    </w:p>
    <w:p w14:paraId="7CD1319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远在长江之滨的阳新县富池镇，滨江工业园绿色建材产业园内，黄石华新绿色建材产业有限公司的机制砂石车间设备高速运转，生产忙而有序。公司助理总经理罗平介绍，华新（阳新）亿吨机制砂项目总投资100亿元，其中一期已建成投产，二期项目正在建设。建成达产后，可年创产值70亿元，综合税收15亿元。</w:t>
      </w:r>
    </w:p>
    <w:p w14:paraId="6AA66B8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在“上联下接”的镇域，没有什么比塔吊高耸林立更能提振发展的信心，没有什么比项目接踵落地更能激发经济活力。</w:t>
      </w:r>
    </w:p>
    <w:p w14:paraId="4CEB415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富池镇金堡村小岭山下，一片错落有致的建筑群已然落成，忙碌的工人在进行室外装修。这里是湖北远大生命科学与技术有限责任公司大健康营养生产线项目。</w:t>
      </w:r>
    </w:p>
    <w:p w14:paraId="089378F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该项目总投资5亿元，占地150亩，预计今年9月进入试生产。项目达产后可年产6000多吨营养品膳食补充剂。</w:t>
      </w:r>
    </w:p>
    <w:p w14:paraId="5A90626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产业园区是主战场，项目建设是生命线，基础设施是支撑点。</w:t>
      </w:r>
    </w:p>
    <w:p w14:paraId="37ECBB80">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大冶市灵乡镇灵成产业园已经形成特钢模具、精密铸造、高端装备制造、无机非金属材料等4大产业集群，发展规模以上各类企业约50家。</w:t>
      </w:r>
    </w:p>
    <w:p w14:paraId="29980D3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一无土地、二无矿山资源、三无企业”的阳新县王英镇，依托境内“荆楚第一奇湖”仙岛湖生态优势，持续发展生态旅游产业，先后推出“天空之城”“仙湖画廊”“望仙崖”等网红景点，同时大力发展旅游住宿、餐饮等服务业，年接待游客量超160万人次。</w:t>
      </w:r>
    </w:p>
    <w:p w14:paraId="254BDEC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Helvetica" w:hAnsi="Helvetica" w:eastAsia="Helvetica" w:cs="Helvetica"/>
          <w:i w:val="0"/>
          <w:iCs w:val="0"/>
          <w:caps w:val="0"/>
          <w:color w:val="333333"/>
          <w:spacing w:val="0"/>
          <w:sz w:val="21"/>
          <w:szCs w:val="21"/>
        </w:rPr>
      </w:pPr>
      <w:r>
        <w:rPr>
          <w:rFonts w:hint="default" w:ascii="宋体" w:hAnsi="宋体" w:eastAsia="宋体" w:cs="宋体"/>
          <w:b/>
          <w:bCs/>
          <w:kern w:val="2"/>
          <w:sz w:val="30"/>
          <w:szCs w:val="30"/>
          <w:lang w:val="en-US" w:eastAsia="zh-CN" w:bidi="ar-SA"/>
        </w:rPr>
        <w:t>王英镇生态旅游带动了阳新全域旅游。网湖天鹅岛景区、三溪沁心园景区、月上云间假日营地、滴水崖景区、百洞峡景区等文旅项目，民间投资占比超过六成。</w:t>
      </w:r>
    </w:p>
    <w:p w14:paraId="73EA5E4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400" w:lineRule="exact"/>
        <w:ind w:left="0" w:right="0" w:firstLine="0"/>
        <w:jc w:val="both"/>
        <w:textAlignment w:val="auto"/>
        <w:rPr>
          <w:rFonts w:hint="default" w:ascii="华文中宋" w:hAnsi="华文中宋" w:eastAsia="华文中宋" w:cs="华文中宋"/>
          <w:b/>
          <w:bCs/>
          <w:kern w:val="2"/>
          <w:sz w:val="30"/>
          <w:szCs w:val="30"/>
          <w:lang w:val="en-US" w:eastAsia="zh-CN" w:bidi="ar-SA"/>
        </w:rPr>
      </w:pPr>
      <w:r>
        <w:rPr>
          <w:rFonts w:hint="default" w:ascii="Helvetica" w:hAnsi="Helvetica" w:eastAsia="Helvetica" w:cs="Helvetica"/>
          <w:i w:val="0"/>
          <w:iCs w:val="0"/>
          <w:caps w:val="0"/>
          <w:color w:val="333333"/>
          <w:spacing w:val="0"/>
          <w:sz w:val="21"/>
          <w:szCs w:val="21"/>
          <w:shd w:val="clear" w:fill="FFFFFF"/>
        </w:rPr>
        <w:t>　　</w:t>
      </w:r>
      <w:r>
        <w:rPr>
          <w:rFonts w:hint="eastAsia" w:ascii="Helvetica" w:hAnsi="Helvetica" w:eastAsia="宋体" w:cs="Helvetica"/>
          <w:i w:val="0"/>
          <w:iCs w:val="0"/>
          <w:caps w:val="0"/>
          <w:color w:val="333333"/>
          <w:spacing w:val="0"/>
          <w:sz w:val="21"/>
          <w:szCs w:val="21"/>
          <w:shd w:val="clear" w:fill="FFFFFF"/>
          <w:lang w:val="en-US" w:eastAsia="zh-CN"/>
        </w:rPr>
        <w:t xml:space="preserve">  </w:t>
      </w:r>
      <w:r>
        <w:rPr>
          <w:rFonts w:hint="default" w:ascii="华文中宋" w:hAnsi="华文中宋" w:eastAsia="华文中宋" w:cs="华文中宋"/>
          <w:b/>
          <w:bCs/>
          <w:kern w:val="2"/>
          <w:sz w:val="30"/>
          <w:szCs w:val="30"/>
          <w:lang w:val="en-US" w:eastAsia="zh-CN" w:bidi="ar-SA"/>
        </w:rPr>
        <w:t>能级跃升：</w:t>
      </w:r>
    </w:p>
    <w:p w14:paraId="6CCE73B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400" w:lineRule="exact"/>
        <w:ind w:left="0" w:right="0" w:firstLine="0"/>
        <w:jc w:val="both"/>
        <w:textAlignment w:val="auto"/>
        <w:rPr>
          <w:rFonts w:hint="default" w:ascii="华文中宋" w:hAnsi="华文中宋" w:eastAsia="华文中宋" w:cs="华文中宋"/>
          <w:b/>
          <w:bCs/>
          <w:kern w:val="2"/>
          <w:sz w:val="30"/>
          <w:szCs w:val="30"/>
          <w:lang w:val="en-US" w:eastAsia="zh-CN" w:bidi="ar-SA"/>
        </w:rPr>
      </w:pPr>
      <w:r>
        <w:rPr>
          <w:rFonts w:hint="default" w:ascii="华文中宋" w:hAnsi="华文中宋" w:eastAsia="华文中宋" w:cs="华文中宋"/>
          <w:b/>
          <w:bCs/>
          <w:kern w:val="2"/>
          <w:sz w:val="30"/>
          <w:szCs w:val="30"/>
          <w:lang w:val="en-US" w:eastAsia="zh-CN" w:bidi="ar-SA"/>
        </w:rPr>
        <w:t>　　从“硬件联通”到“软件融合”</w:t>
      </w:r>
    </w:p>
    <w:p w14:paraId="13D50CC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420" w:firstLineChars="200"/>
        <w:jc w:val="both"/>
        <w:textAlignment w:val="auto"/>
        <w:rPr>
          <w:rFonts w:hint="default" w:ascii="宋体" w:hAnsi="宋体" w:eastAsia="宋体" w:cs="宋体"/>
          <w:b/>
          <w:bCs/>
          <w:kern w:val="2"/>
          <w:sz w:val="30"/>
          <w:szCs w:val="30"/>
          <w:lang w:val="en-US" w:eastAsia="zh-CN" w:bidi="ar-SA"/>
        </w:rPr>
      </w:pPr>
      <w:r>
        <w:rPr>
          <w:rFonts w:hint="default" w:ascii="Helvetica" w:hAnsi="Helvetica" w:eastAsia="Helvetica" w:cs="Helvetica"/>
          <w:i w:val="0"/>
          <w:iCs w:val="0"/>
          <w:caps w:val="0"/>
          <w:color w:val="333333"/>
          <w:spacing w:val="0"/>
          <w:sz w:val="21"/>
          <w:szCs w:val="21"/>
          <w:shd w:val="clear" w:fill="FFFFFF"/>
        </w:rPr>
        <w:t>　</w:t>
      </w:r>
      <w:r>
        <w:rPr>
          <w:rFonts w:hint="default" w:ascii="宋体" w:hAnsi="宋体" w:eastAsia="宋体" w:cs="宋体"/>
          <w:b/>
          <w:bCs/>
          <w:kern w:val="2"/>
          <w:sz w:val="30"/>
          <w:szCs w:val="30"/>
          <w:lang w:val="en-US" w:eastAsia="zh-CN" w:bidi="ar-SA"/>
        </w:rPr>
        <w:t>建设上下贯通、左右联动、多方协同的机制，是深入推进全域一体化的关键所在。加快“硬联通”步伐，提升“软联通”水平，黄石一体化发展按下“快进键”。</w:t>
      </w:r>
    </w:p>
    <w:p w14:paraId="25FF5DF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依托工业优势、长江黄金水道、亿吨港口、综保区、“公铁水”多式联运、鄂州花湖机场的优势，新港园区　氵韦源口镇正在统筹推进传统产业升级、新兴产业壮大、未来产业培育，力争实现规模以上工业企业40家，新增市场主体480户，奋力冲刺中部百强镇。</w:t>
      </w:r>
    </w:p>
    <w:p w14:paraId="47388C3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“黄金湖甲鱼”“殷祖白茶”通过黄石供应链平台，整合阳新、大冶等地资源，形成“育苗——加工——冷链”跨区域链条，带动黄石全域2400余家农业主体增收3000万元，农产品加工产值突破70亿元。</w:t>
      </w:r>
    </w:p>
    <w:p w14:paraId="3F4E81C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“硬联通”跟上了，“软联通”也不能丢。</w:t>
      </w:r>
    </w:p>
    <w:p w14:paraId="52C887E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5月20日，地处大冶市还地桥镇的湖北渤海生物控股集团有限公司（以下简称“渤海控股”）生产包装车间，一台台机械手臂正在将一袋袋肥料包装、运送、库存……</w:t>
      </w:r>
    </w:p>
    <w:p w14:paraId="620DBBB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渤海控股是一家专业研发、生产颗粒、粉剂和溶剂生物肥料的高科技公司，拥有“福盈门”“渤海”“红鸽”三大知名品牌，在全国建有两大生产基地。</w:t>
      </w:r>
    </w:p>
    <w:p w14:paraId="1D58EF9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“一期工程投资5.6亿元，今年2月试生产，年可产各类生物肥料60多万吨，实现税收2000万余元。”该公司副总经理常宽介绍，企业从打桩到试生产，仅用了半年时间。</w:t>
      </w:r>
    </w:p>
    <w:p w14:paraId="02DA545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常宽讲的两个故事引人深思：一是刚开工建设时，厂区门前的废弃铁路影响了车辆进出，因为铁路权属问题，大冶市、还地桥镇多次赴武汉铁路局协调，最终解决了出行难题。</w:t>
      </w:r>
    </w:p>
    <w:p w14:paraId="0B6FC56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另一件是，今年开春企业准备试生产，因为人生地不熟，企业招工情况不理想。在与政府部门沟通后，仅用几天时间，大冶市、还地桥镇联手为公司招聘了300多名员工。</w:t>
      </w:r>
    </w:p>
    <w:p w14:paraId="26FDA3C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“这让我们非常感动，决定把总部迁到还地桥镇。”常宽说，企业二期计划投入5.2亿元，建设研发中心，从事生物苷的提取、产品研发等。</w:t>
      </w:r>
    </w:p>
    <w:p w14:paraId="3E3F1F0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一个项目落地生根、开花结果，都是拼出来的。”临空区·还地桥镇副镇长易玲娜回忆，当时该公司高层在别处考察项目时，因为穿着质朴而遭遇冷眼，来大冶市时被热情的服务所打动，再加上还地桥镇临港临空的区位优势和周到服务，最终促成项目落地。</w:t>
      </w:r>
    </w:p>
    <w:p w14:paraId="7764CD7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大冶市政数局民情通管理服务中心主任邹玉萍讲的一个故事，从另一方面诠释了“软联通”的重要性。</w:t>
      </w:r>
    </w:p>
    <w:p w14:paraId="309C8320">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去年12月7日，河北保定的鲍先生致电大冶市市场监督管理局窗口，咨询开办企业相关业务。工作人员陆利启动“跨域通办”模式，通过视频连线，耐心指导其完成电子营业执照和电子印章申领，并在2个工作日内免费寄递纸质营业执照和印章到鲍先生手中。鲍先生当即决定在大冶市注册企业。</w:t>
      </w:r>
    </w:p>
    <w:p w14:paraId="163B7A54">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伴随着交通大动脉贯通、产业大融合互补、政务服务大范围通办，“全域一体化”带来更多的可能。</w:t>
      </w:r>
    </w:p>
    <w:p w14:paraId="5F207FF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今年“五一”小长假第一天，开发区·铁山区首座大型商业综合体——“黄石时光汇”正式开门迎客。这是开发区·铁山区近年来持续提升商圈消费能级、打造消费新场景的又一典型案例。</w:t>
      </w:r>
    </w:p>
    <w:p w14:paraId="174988B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通过新建改造百花商业街、光亮邻里中心、流浪矿山、金成同学街等一批市级特色商业街区，开发区·铁山区以“低密度、深体验”的特色，点燃假日经济新引擎，迸发出文旅体商融合发展新活力。</w:t>
      </w:r>
    </w:p>
    <w:p w14:paraId="7EED58D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站在大冶湖核心区的高处远眺，黄石的版图上，交通路网如血管般延伸，产业园区似细胞般活跃，乡镇发展像星辰般璀璨。当交通打破地域阻隔，当产业跨越行政边界，当政务消除制度壁垒，黄石在全域一体化发展的“化学变化”中实现深度融合。</w:t>
      </w:r>
    </w:p>
    <w:p w14:paraId="7918C16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E90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4</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2026-03-10T08:04:29Z</dcterms:created>
  <dc:creator>dwt</dc:creator>
  <cp:lastModifiedBy>婷</cp:lastModifiedBy>
  <dcterms:modified xsi:type="dcterms:W3CDTF">2026-03-10T08:13:40Z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eyJoZGlkIjoiMjQ2YWY2MzJiOTA4ODIzNDkwNmJhZTkyY2JjZjI3Y2YiLCJ1c2VySWQiOiI1MjY1NTgwNDEifQ==</vt:lpwstr>
  </property>
  <property fmtid="{D5CDD505-2E9C-101B-9397-08002B2CF9AE}" pid="4" name="ICV">
    <vt:lpwstr>94CC4DE5D6FE40798DC81FB35AD032CE_12</vt:lpwstr>
  </property>
</Properties>
</file>